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283FCAD1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6C53EC4D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DD1251">
        <w:rPr>
          <w:b/>
          <w:bCs/>
        </w:rPr>
        <w:t xml:space="preserve"> </w:t>
      </w:r>
      <w:r w:rsidR="008D71C9">
        <w:rPr>
          <w:b/>
          <w:bCs/>
        </w:rPr>
        <w:t>006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1020BB6C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 xml:space="preserve">icitação modalidade Pregão </w:t>
      </w:r>
      <w:r w:rsidR="001B6830">
        <w:t xml:space="preserve">em epigrafe </w:t>
      </w:r>
      <w:r w:rsidR="00B120D7">
        <w:t>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85114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B6830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809DB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D71C9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73</cp:revision>
  <cp:lastPrinted>2023-04-04T11:18:00Z</cp:lastPrinted>
  <dcterms:created xsi:type="dcterms:W3CDTF">2019-01-24T00:54:00Z</dcterms:created>
  <dcterms:modified xsi:type="dcterms:W3CDTF">2023-04-04T11:18:00Z</dcterms:modified>
</cp:coreProperties>
</file>